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07" w:rsidRDefault="002B1C07" w:rsidP="002B1C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2B1C07">
        <w:rPr>
          <w:rFonts w:ascii="Times New Roman" w:hAnsi="Times New Roman" w:cs="Times New Roman"/>
          <w:sz w:val="28"/>
          <w:szCs w:val="28"/>
          <w:lang w:val="sr-Cyrl-RS"/>
        </w:rPr>
        <w:t>Асист</w:t>
      </w:r>
      <w:proofErr w:type="spellEnd"/>
      <w:r w:rsidRPr="002B1C07">
        <w:rPr>
          <w:rFonts w:ascii="Times New Roman" w:hAnsi="Times New Roman" w:cs="Times New Roman"/>
          <w:sz w:val="28"/>
          <w:szCs w:val="28"/>
          <w:lang w:val="sr-Cyrl-RS"/>
        </w:rPr>
        <w:t xml:space="preserve">. др Милош </w:t>
      </w:r>
      <w:proofErr w:type="spellStart"/>
      <w:r w:rsidRPr="002B1C07">
        <w:rPr>
          <w:rFonts w:ascii="Times New Roman" w:hAnsi="Times New Roman" w:cs="Times New Roman"/>
          <w:sz w:val="28"/>
          <w:szCs w:val="28"/>
          <w:lang w:val="sr-Cyrl-RS"/>
        </w:rPr>
        <w:t>Сладојевић</w:t>
      </w:r>
      <w:proofErr w:type="spellEnd"/>
    </w:p>
    <w:p w:rsidR="002B1C07" w:rsidRDefault="002B1C07" w:rsidP="002B1C0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Клиника за васкуларну и </w:t>
      </w:r>
      <w:proofErr w:type="spellStart"/>
      <w:r w:rsidRPr="002B1C07">
        <w:rPr>
          <w:rFonts w:ascii="Times New Roman" w:hAnsi="Times New Roman" w:cs="Times New Roman"/>
          <w:sz w:val="24"/>
          <w:szCs w:val="24"/>
          <w:lang w:val="sr-Cyrl-RS"/>
        </w:rPr>
        <w:t>ендоваскуларну</w:t>
      </w:r>
      <w:proofErr w:type="spellEnd"/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хирургију, </w:t>
      </w:r>
    </w:p>
    <w:p w:rsidR="002B1C07" w:rsidRPr="002B1C07" w:rsidRDefault="002B1C07" w:rsidP="002B1C0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sz w:val="24"/>
          <w:szCs w:val="24"/>
          <w:lang w:val="sr-Cyrl-RS"/>
        </w:rPr>
        <w:t>Универзитетски клинички центар Србије</w:t>
      </w:r>
    </w:p>
    <w:p w:rsidR="002B1C07" w:rsidRPr="002B1C07" w:rsidRDefault="002B1C07" w:rsidP="002B1C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p w:rsidR="00996B4D" w:rsidRPr="002B1C07" w:rsidRDefault="00027711" w:rsidP="002B1C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2B1C07">
        <w:rPr>
          <w:rFonts w:ascii="Times New Roman" w:hAnsi="Times New Roman" w:cs="Times New Roman"/>
          <w:sz w:val="28"/>
          <w:szCs w:val="28"/>
          <w:lang w:val="sr-Cyrl-RS"/>
        </w:rPr>
        <w:t xml:space="preserve">Предвиђање </w:t>
      </w:r>
      <w:proofErr w:type="spellStart"/>
      <w:r w:rsidRPr="002B1C07">
        <w:rPr>
          <w:rFonts w:ascii="Times New Roman" w:hAnsi="Times New Roman" w:cs="Times New Roman"/>
          <w:sz w:val="28"/>
          <w:szCs w:val="28"/>
          <w:lang w:val="sr-Cyrl-RS"/>
        </w:rPr>
        <w:t>руптуре</w:t>
      </w:r>
      <w:proofErr w:type="spellEnd"/>
      <w:r w:rsidRPr="002B1C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2B1C07">
        <w:rPr>
          <w:rFonts w:ascii="Times New Roman" w:hAnsi="Times New Roman" w:cs="Times New Roman"/>
          <w:sz w:val="28"/>
          <w:szCs w:val="28"/>
          <w:lang w:val="sr-Cyrl-RS"/>
        </w:rPr>
        <w:t>анеуризме</w:t>
      </w:r>
      <w:proofErr w:type="spellEnd"/>
      <w:r w:rsidRPr="002B1C07">
        <w:rPr>
          <w:rFonts w:ascii="Times New Roman" w:hAnsi="Times New Roman" w:cs="Times New Roman"/>
          <w:sz w:val="28"/>
          <w:szCs w:val="28"/>
          <w:lang w:val="sr-Cyrl-RS"/>
        </w:rPr>
        <w:t xml:space="preserve"> абдоминалне аорте</w:t>
      </w:r>
    </w:p>
    <w:p w:rsidR="002B1C07" w:rsidRDefault="002B1C07" w:rsidP="002B1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AE0" w:rsidRPr="002B1C07" w:rsidRDefault="00027711" w:rsidP="002B1C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B1C07">
        <w:rPr>
          <w:rFonts w:ascii="Times New Roman" w:hAnsi="Times New Roman" w:cs="Times New Roman"/>
          <w:sz w:val="24"/>
          <w:szCs w:val="24"/>
          <w:lang w:val="sr-Cyrl-RS"/>
        </w:rPr>
        <w:t>Руптура</w:t>
      </w:r>
      <w:proofErr w:type="spellEnd"/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је најтежа компликација анеур</w:t>
      </w:r>
      <w:r w:rsidR="0093776A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изме 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>абдоминалне аорте</w:t>
      </w:r>
      <w:r w:rsidR="0093776A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(ААА)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са укупним морталитетом и до 80%, а морталитет код оперисаних пацијената </w:t>
      </w:r>
      <w:r w:rsidR="00EC7075" w:rsidRPr="002B1C07">
        <w:rPr>
          <w:rFonts w:ascii="Times New Roman" w:hAnsi="Times New Roman" w:cs="Times New Roman"/>
          <w:sz w:val="24"/>
          <w:szCs w:val="24"/>
          <w:lang w:val="sr-Cyrl-RS"/>
        </w:rPr>
        <w:t>је 30-50%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. Због тога руптуру треба превенирати </w:t>
      </w:r>
      <w:r w:rsidR="00EC7075" w:rsidRPr="002B1C07">
        <w:rPr>
          <w:rFonts w:ascii="Times New Roman" w:hAnsi="Times New Roman" w:cs="Times New Roman"/>
          <w:sz w:val="24"/>
          <w:szCs w:val="24"/>
          <w:lang w:val="sr-Cyrl-RS"/>
        </w:rPr>
        <w:t>правовременим хируршким третманом када дијаметар анеуризме достигне препоручене критеријуме за операцију (&gt;55</w:t>
      </w:r>
      <w:r w:rsidR="00EC7075" w:rsidRPr="002B1C07">
        <w:rPr>
          <w:rFonts w:ascii="Times New Roman" w:hAnsi="Times New Roman" w:cs="Times New Roman"/>
          <w:sz w:val="24"/>
          <w:szCs w:val="24"/>
          <w:lang w:val="sr-Latn-RS"/>
        </w:rPr>
        <w:t>mm</w:t>
      </w:r>
      <w:r w:rsidR="00EC7075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код мушкараца и &gt;50</w:t>
      </w:r>
      <w:r w:rsidR="00EC7075" w:rsidRPr="002B1C07">
        <w:rPr>
          <w:rFonts w:ascii="Times New Roman" w:hAnsi="Times New Roman" w:cs="Times New Roman"/>
          <w:sz w:val="24"/>
          <w:szCs w:val="24"/>
          <w:lang w:val="sr-Latn-RS"/>
        </w:rPr>
        <w:t xml:space="preserve">mm </w:t>
      </w:r>
      <w:r w:rsidR="00EC7075" w:rsidRPr="002B1C07">
        <w:rPr>
          <w:rFonts w:ascii="Times New Roman" w:hAnsi="Times New Roman" w:cs="Times New Roman"/>
          <w:sz w:val="24"/>
          <w:szCs w:val="24"/>
          <w:lang w:val="sr-Cyrl-RS"/>
        </w:rPr>
        <w:t>код жена). Међутим, познато је да у 8-10% случајева малих анеуризми може доћи до руптуре, а да чак 40% великих анеуризми не руптурира. Због овога је од изузетног значаја индивидуална процена ризика од руптуре</w:t>
      </w:r>
      <w:r w:rsidR="0093776A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до које, са биомеханичког аспекта, долази када напон у зиду надвиси снагу зида. Интралуминални тромб (ИЛТ) се налази између циркулишућег лумена и зида анеуризме због чега има утицај и на напон и на снагу зида. ИЛТ</w:t>
      </w:r>
      <w:r w:rsidR="00EC7075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76A" w:rsidRPr="002B1C07">
        <w:rPr>
          <w:rFonts w:ascii="Times New Roman" w:hAnsi="Times New Roman" w:cs="Times New Roman"/>
          <w:sz w:val="24"/>
          <w:szCs w:val="24"/>
          <w:lang w:val="sr-Cyrl-RS"/>
        </w:rPr>
        <w:t>механички делује као штит смањујућу напон у зиду, али захваљујући ћелијској компоненти секретује протеолитичке ензиме</w:t>
      </w:r>
      <w:r w:rsidR="00FD6AE0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(неутрофилна еластаза – НЕ/ЕЛА и метриксне металопротеиназе - ММП)</w:t>
      </w:r>
      <w:r w:rsidR="0093776A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који могу допринети разградњи зида ААА.</w:t>
      </w:r>
    </w:p>
    <w:p w:rsidR="00027711" w:rsidRPr="002B1C07" w:rsidRDefault="00FD6AE0" w:rsidP="002B1C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i/>
          <w:sz w:val="24"/>
          <w:szCs w:val="24"/>
          <w:lang w:val="sr-Latn-RS"/>
        </w:rPr>
        <w:t>Vascops</w:t>
      </w:r>
      <w:r w:rsidRPr="002B1C0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>програм и метода коначних елемената коришћена је за прецизније одређивање вредности и локализације највећег напона у зиду (</w:t>
      </w:r>
      <w:r w:rsidRPr="002B1C07">
        <w:rPr>
          <w:rFonts w:ascii="Times New Roman" w:hAnsi="Times New Roman" w:cs="Times New Roman"/>
          <w:i/>
          <w:sz w:val="24"/>
          <w:szCs w:val="24"/>
          <w:lang w:val="sr-Latn-RS"/>
        </w:rPr>
        <w:t>peak wall streas-PWS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147A9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код две групе пацијената (симптоматске и руптуриране анеуризме су упоређиване са асимптоматским)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>. Такође, овај програм омогућује одређиванје запремине анеуризме и запремине ИЛТ-а.</w:t>
      </w:r>
      <w:r w:rsidR="006147A9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У циљу разликовања структуре ИЛТ-ова, у студији у којој је испитиван утицај ИЛТ-а на зид асимптоматских ААА рађен је преглед магнетном резонанцом и одређиван је релативни интензитет сигнала. У овој студији количина тромба је изражена као релативна површина тромба на </w:t>
      </w:r>
      <w:r w:rsidR="00DD4563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аксијалном пресеку на </w:t>
      </w:r>
      <w:r w:rsidR="006147A9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месту </w:t>
      </w:r>
      <w:r w:rsidR="00DD4563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највећег дијаметра ААА. Интраоперативно су узимани узорци предњег зида анеуризме са припадајућим тромбом за потребе биомеханичког и биохемијског анализирања. Упоређивана је снага зида код руптурираних и симптоматских ААА са снагом зида асимптоматских ААА. </w:t>
      </w:r>
      <w:r w:rsidR="00097289"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Тестирање је вршено у </w:t>
      </w:r>
      <w:r w:rsidR="00097289" w:rsidRPr="002B1C07">
        <w:rPr>
          <w:rFonts w:ascii="Times New Roman" w:hAnsi="Times New Roman" w:cs="Times New Roman"/>
          <w:i/>
          <w:sz w:val="24"/>
          <w:szCs w:val="24"/>
          <w:lang w:val="sr-Latn-RS"/>
        </w:rPr>
        <w:t>in vitro</w:t>
      </w:r>
      <w:r w:rsidR="00097289" w:rsidRPr="002B1C0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97289" w:rsidRPr="002B1C07">
        <w:rPr>
          <w:rFonts w:ascii="Times New Roman" w:hAnsi="Times New Roman" w:cs="Times New Roman"/>
          <w:sz w:val="24"/>
          <w:szCs w:val="24"/>
          <w:lang w:val="sr-Cyrl-RS"/>
        </w:rPr>
        <w:t>условима, а снага зида је изражавана као вредност притиска који доводи до пуцања зида. Код асимптоматских ААА одређивана је протеолитичка активност у тромбу и зиду ААА мерењем концентрације НЕ/ЕЛА и ММП-9 и 2, док су концентрације протеина екстрацелуларног матрикса одређиване само у зиду ААА.</w:t>
      </w:r>
    </w:p>
    <w:p w:rsidR="00B43759" w:rsidRPr="002B1C07" w:rsidRDefault="00B43759" w:rsidP="002B1C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sz w:val="24"/>
          <w:szCs w:val="24"/>
          <w:lang w:val="sr-Cyrl-RS"/>
        </w:rPr>
        <w:t>Као главни закључци ових истраживања утврђени су следећи:</w:t>
      </w:r>
    </w:p>
    <w:p w:rsidR="00B43759" w:rsidRPr="002B1C07" w:rsidRDefault="00B43759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sz w:val="24"/>
          <w:szCs w:val="24"/>
          <w:lang w:val="sr-Cyrl-RS"/>
        </w:rPr>
        <w:t>Анеуризме мањег дијаметра од 55</w:t>
      </w:r>
      <w:r w:rsidRPr="002B1C07">
        <w:rPr>
          <w:rFonts w:ascii="Times New Roman" w:hAnsi="Times New Roman" w:cs="Times New Roman"/>
          <w:sz w:val="24"/>
          <w:szCs w:val="24"/>
        </w:rPr>
        <w:t>mm</w:t>
      </w:r>
      <w:r w:rsidRPr="002B1C07">
        <w:rPr>
          <w:rFonts w:ascii="Times New Roman" w:hAnsi="Times New Roman" w:cs="Times New Roman"/>
          <w:sz w:val="24"/>
          <w:szCs w:val="24"/>
          <w:lang w:val="sr-Cyrl-RS"/>
        </w:rPr>
        <w:t xml:space="preserve"> имају већи ризик од руптуре уколико је </w:t>
      </w:r>
      <w:r w:rsidRPr="002B1C07">
        <w:rPr>
          <w:rFonts w:ascii="Times New Roman" w:hAnsi="Times New Roman" w:cs="Times New Roman"/>
          <w:bCs/>
          <w:i/>
          <w:sz w:val="24"/>
          <w:szCs w:val="24"/>
          <w:lang w:val="sr-Latn-RS"/>
        </w:rPr>
        <w:t>PWS</w:t>
      </w:r>
      <w:r w:rsidRPr="002B1C0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већи од 249,8.</w:t>
      </w:r>
    </w:p>
    <w:p w:rsidR="00B43759" w:rsidRPr="002B1C07" w:rsidRDefault="00B43759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Снага зида је мања код руптурираних и симптоматских ААА чиме је показано да снага зида има важну улогу у процесу настанка руптуре.</w:t>
      </w:r>
    </w:p>
    <w:p w:rsidR="00B43759" w:rsidRPr="002B1C07" w:rsidRDefault="00B43759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Запремина ИЛТ</w:t>
      </w:r>
      <w:r w:rsidR="00FF1A8B" w:rsidRPr="002B1C07"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 w:rsidR="00FF1A8B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анеуризматској кеси </w:t>
      </w:r>
      <w:r w:rsidR="00A00538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има значајну улогу у предвиђању ризика од руптуре ААА.</w:t>
      </w:r>
    </w:p>
    <w:p w:rsidR="00A00538" w:rsidRPr="002B1C07" w:rsidRDefault="00A00538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Преглед магнетном резонанцом може указати на биолошку активност ААА јер релативни интензитет сигнала већи од 0,925 на </w:t>
      </w:r>
      <w:r w:rsidRPr="002B1C07">
        <w:rPr>
          <w:rFonts w:ascii="Times New Roman" w:hAnsi="Times New Roman" w:cs="Times New Roman"/>
          <w:sz w:val="24"/>
          <w:szCs w:val="24"/>
          <w:lang w:val="sr-Latn-RS"/>
        </w:rPr>
        <w:t>T1W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секвенци упућује на већу концентрацију НЕ/ЕЛА у ИЛТ-у и мањи садржај еластина у аортном зиду.</w:t>
      </w:r>
    </w:p>
    <w:p w:rsidR="00A00538" w:rsidRPr="002B1C07" w:rsidRDefault="00A00538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Већа биолошка активност ИЛТ-а процењена на основу концентрације НЕ/ЕЛА и ММП-9 повезана је са мањом концентрацијом еластина у зиду ААА те се може претпоставити да</w:t>
      </w:r>
      <w:r w:rsidR="00FF1A8B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ове ААА склоније руптури.</w:t>
      </w:r>
    </w:p>
    <w:p w:rsidR="00A00538" w:rsidRPr="002B1C07" w:rsidRDefault="00A00538" w:rsidP="002B1C07">
      <w:pPr>
        <w:pStyle w:val="ListParagraph"/>
        <w:numPr>
          <w:ilvl w:val="0"/>
          <w:numId w:val="3"/>
        </w:num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Концентрација НЕ/ЕЛА и ММП-9 је значајно већа у ИЛТ-у него у околном зиду ААА</w:t>
      </w:r>
      <w:r w:rsidR="00FF1A8B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па се може претпоставити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продукција ових ензима од стране ИЛТ-а </w:t>
      </w:r>
      <w:r w:rsidR="00FF1A8B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доприноси</w:t>
      </w:r>
      <w:r w:rsidR="005E7AB1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протеолитичкој разг</w:t>
      </w:r>
      <w:r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>радњи</w:t>
      </w:r>
      <w:r w:rsidR="005E7AB1" w:rsidRPr="002B1C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екстрацелуларног матрикса.</w:t>
      </w:r>
    </w:p>
    <w:p w:rsidR="00B43759" w:rsidRPr="002B1C07" w:rsidRDefault="00B43759" w:rsidP="00FF1A8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43759" w:rsidRPr="002B1C07" w:rsidSect="002B1C07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5AC0"/>
    <w:multiLevelType w:val="hybridMultilevel"/>
    <w:tmpl w:val="F74830F4"/>
    <w:lvl w:ilvl="0" w:tplc="98E4D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00916"/>
    <w:multiLevelType w:val="hybridMultilevel"/>
    <w:tmpl w:val="5F8A8C1A"/>
    <w:lvl w:ilvl="0" w:tplc="2C04F8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46E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A2F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2DC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C0C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2BD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699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487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E5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6F490F"/>
    <w:multiLevelType w:val="hybridMultilevel"/>
    <w:tmpl w:val="EE362D3C"/>
    <w:lvl w:ilvl="0" w:tplc="B70CF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6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2D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4C1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4EE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ADE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C30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8D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003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11"/>
    <w:rsid w:val="00027711"/>
    <w:rsid w:val="00040895"/>
    <w:rsid w:val="00097289"/>
    <w:rsid w:val="002B1C07"/>
    <w:rsid w:val="005E7AB1"/>
    <w:rsid w:val="006147A9"/>
    <w:rsid w:val="0093776A"/>
    <w:rsid w:val="00A00538"/>
    <w:rsid w:val="00B43759"/>
    <w:rsid w:val="00C4798E"/>
    <w:rsid w:val="00DD4563"/>
    <w:rsid w:val="00EC7075"/>
    <w:rsid w:val="00FD6AE0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Grozdanic</cp:lastModifiedBy>
  <cp:revision>5</cp:revision>
  <dcterms:created xsi:type="dcterms:W3CDTF">2022-02-25T21:29:00Z</dcterms:created>
  <dcterms:modified xsi:type="dcterms:W3CDTF">2022-03-02T08:42:00Z</dcterms:modified>
</cp:coreProperties>
</file>